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91" w:rsidRPr="007626FD" w:rsidRDefault="005D0391" w:rsidP="005D0391">
      <w:pPr>
        <w:rPr>
          <w:rFonts w:asciiTheme="minorHAnsi" w:eastAsiaTheme="minorHAnsi" w:hAnsiTheme="minorHAnsi" w:cs="Arial"/>
          <w:sz w:val="22"/>
          <w:szCs w:val="22"/>
          <w:lang w:eastAsia="en-US"/>
        </w:rPr>
      </w:pPr>
      <w:r w:rsidRPr="007626FD">
        <w:rPr>
          <w:rFonts w:asciiTheme="minorHAnsi" w:eastAsiaTheme="minorHAnsi" w:hAnsiTheme="minorHAnsi" w:cs="Arial"/>
          <w:sz w:val="22"/>
          <w:szCs w:val="22"/>
          <w:lang w:eastAsia="en-US"/>
        </w:rPr>
        <w:t xml:space="preserve">                 </w:t>
      </w:r>
      <w:r w:rsidRPr="007626FD">
        <w:rPr>
          <w:rFonts w:asciiTheme="minorHAnsi" w:eastAsiaTheme="minorHAnsi" w:hAnsiTheme="minorHAnsi" w:cs="Arial"/>
          <w:noProof/>
          <w:sz w:val="22"/>
          <w:szCs w:val="22"/>
        </w:rPr>
        <w:drawing>
          <wp:inline distT="0" distB="0" distL="0" distR="0" wp14:anchorId="32701CFE" wp14:editId="121507F4">
            <wp:extent cx="447675" cy="4572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7626FD">
        <w:rPr>
          <w:rFonts w:asciiTheme="minorHAnsi" w:eastAsiaTheme="minorHAnsi" w:hAnsiTheme="minorHAnsi" w:cs="Arial"/>
          <w:sz w:val="22"/>
          <w:szCs w:val="22"/>
          <w:lang w:eastAsia="en-US"/>
        </w:rPr>
        <w:t xml:space="preserve"> </w:t>
      </w:r>
    </w:p>
    <w:p w:rsidR="005D0391" w:rsidRPr="007626FD" w:rsidRDefault="005D0391" w:rsidP="005D0391">
      <w:pPr>
        <w:rPr>
          <w:rFonts w:asciiTheme="minorHAnsi" w:eastAsiaTheme="minorHAnsi" w:hAnsiTheme="minorHAnsi" w:cs="Arial"/>
          <w:sz w:val="22"/>
          <w:szCs w:val="22"/>
          <w:lang w:eastAsia="en-US"/>
        </w:rPr>
      </w:pPr>
      <w:r w:rsidRPr="007626FD">
        <w:rPr>
          <w:rFonts w:asciiTheme="minorHAnsi" w:eastAsiaTheme="minorHAnsi" w:hAnsiTheme="minorHAnsi" w:cs="Arial"/>
          <w:sz w:val="22"/>
          <w:szCs w:val="22"/>
          <w:lang w:eastAsia="en-US"/>
        </w:rPr>
        <w:t>ΕΛΛΗΝΙΚΗ ΔΗΜΟΚΡΑΤΙΑ</w:t>
      </w:r>
    </w:p>
    <w:p w:rsidR="005D0391" w:rsidRPr="007626FD" w:rsidRDefault="005D0391" w:rsidP="005D0391">
      <w:pPr>
        <w:rPr>
          <w:rFonts w:asciiTheme="minorHAnsi" w:eastAsiaTheme="minorHAnsi" w:hAnsiTheme="minorHAnsi" w:cs="Arial"/>
          <w:sz w:val="22"/>
          <w:szCs w:val="22"/>
          <w:lang w:eastAsia="en-US"/>
        </w:rPr>
      </w:pPr>
      <w:r w:rsidRPr="007626FD">
        <w:rPr>
          <w:rFonts w:asciiTheme="minorHAnsi" w:eastAsiaTheme="minorHAnsi" w:hAnsiTheme="minorHAnsi" w:cs="Arial"/>
          <w:sz w:val="22"/>
          <w:szCs w:val="22"/>
          <w:lang w:eastAsia="en-US"/>
        </w:rPr>
        <w:t>ΥΠΟΥΡΓΕΙΟ  ΠΑΙΔΕΙΑΣ, ΕΡΕΥΝΑΣ</w:t>
      </w:r>
    </w:p>
    <w:p w:rsidR="005D0391" w:rsidRPr="007626FD" w:rsidRDefault="005D0391" w:rsidP="005D0391">
      <w:pPr>
        <w:rPr>
          <w:rFonts w:asciiTheme="minorHAnsi" w:eastAsiaTheme="minorHAnsi" w:hAnsiTheme="minorHAnsi" w:cs="Arial"/>
          <w:sz w:val="22"/>
          <w:szCs w:val="22"/>
          <w:lang w:eastAsia="en-US"/>
        </w:rPr>
      </w:pPr>
      <w:r w:rsidRPr="007626FD">
        <w:rPr>
          <w:rFonts w:asciiTheme="minorHAnsi" w:eastAsiaTheme="minorHAnsi" w:hAnsiTheme="minorHAnsi" w:cs="Arial"/>
          <w:sz w:val="22"/>
          <w:szCs w:val="22"/>
          <w:lang w:eastAsia="en-US"/>
        </w:rPr>
        <w:t>ΚΑΙ ΘΡΗΣΚΕΥΜΑΤΩΝ</w:t>
      </w:r>
    </w:p>
    <w:p w:rsidR="005D0391" w:rsidRPr="007626FD" w:rsidRDefault="005D0391" w:rsidP="005D0391">
      <w:pPr>
        <w:rPr>
          <w:rFonts w:asciiTheme="minorHAnsi" w:eastAsiaTheme="minorHAnsi" w:hAnsiTheme="minorHAnsi" w:cs="Arial"/>
          <w:sz w:val="22"/>
          <w:szCs w:val="22"/>
          <w:lang w:eastAsia="en-US"/>
        </w:rPr>
      </w:pPr>
      <w:r w:rsidRPr="007626FD">
        <w:rPr>
          <w:rFonts w:asciiTheme="minorHAnsi" w:eastAsiaTheme="minorHAnsi" w:hAnsiTheme="minorHAnsi" w:cs="Arial"/>
          <w:sz w:val="22"/>
          <w:szCs w:val="22"/>
          <w:lang w:eastAsia="en-US"/>
        </w:rPr>
        <w:t>--------</w:t>
      </w:r>
    </w:p>
    <w:p w:rsidR="005D0391" w:rsidRPr="007626FD" w:rsidRDefault="005D0391" w:rsidP="005D0391">
      <w:pPr>
        <w:rPr>
          <w:rFonts w:asciiTheme="minorHAnsi" w:eastAsiaTheme="minorHAnsi" w:hAnsiTheme="minorHAnsi" w:cs="Arial"/>
          <w:b/>
          <w:sz w:val="22"/>
          <w:szCs w:val="22"/>
          <w:lang w:eastAsia="en-US"/>
        </w:rPr>
      </w:pPr>
      <w:r w:rsidRPr="007626FD">
        <w:rPr>
          <w:rFonts w:asciiTheme="minorHAnsi" w:eastAsiaTheme="minorHAnsi" w:hAnsiTheme="minorHAnsi" w:cs="Arial"/>
          <w:b/>
          <w:sz w:val="22"/>
          <w:szCs w:val="22"/>
          <w:lang w:eastAsia="en-US"/>
        </w:rPr>
        <w:t>ΠΕΡΙΦΕΡΕΙΑΚΗ ΔΙΕΥΘΥΝΣΗ</w:t>
      </w:r>
    </w:p>
    <w:p w:rsidR="005D0391" w:rsidRPr="007626FD" w:rsidRDefault="005D0391" w:rsidP="005D0391">
      <w:pPr>
        <w:rPr>
          <w:rFonts w:asciiTheme="minorHAnsi" w:eastAsiaTheme="minorHAnsi" w:hAnsiTheme="minorHAnsi" w:cs="Arial"/>
          <w:b/>
          <w:sz w:val="22"/>
          <w:szCs w:val="22"/>
          <w:lang w:eastAsia="en-US"/>
        </w:rPr>
      </w:pPr>
      <w:r w:rsidRPr="007626FD">
        <w:rPr>
          <w:rFonts w:asciiTheme="minorHAnsi" w:eastAsiaTheme="minorHAnsi" w:hAnsiTheme="minorHAnsi" w:cs="Arial"/>
          <w:b/>
          <w:sz w:val="22"/>
          <w:szCs w:val="22"/>
          <w:lang w:eastAsia="en-US"/>
        </w:rPr>
        <w:t xml:space="preserve">Π/ΘΜΙΑΣ &amp; Δ/ΘΜΙΑΣ ΕΚΠΑΙΔΕΥΣΗΣ ΑΤΤΙΚΗΣ                                                         </w:t>
      </w:r>
    </w:p>
    <w:p w:rsidR="005D0391" w:rsidRPr="007626FD" w:rsidRDefault="005D0391" w:rsidP="005D0391">
      <w:pPr>
        <w:rPr>
          <w:rFonts w:asciiTheme="minorHAnsi" w:eastAsiaTheme="minorHAnsi" w:hAnsiTheme="minorHAnsi" w:cs="Arial"/>
          <w:b/>
          <w:sz w:val="22"/>
          <w:szCs w:val="22"/>
          <w:lang w:val="en-US" w:eastAsia="en-US"/>
        </w:rPr>
      </w:pPr>
      <w:r w:rsidRPr="007626FD">
        <w:rPr>
          <w:rFonts w:asciiTheme="minorHAnsi" w:eastAsiaTheme="minorHAnsi" w:hAnsiTheme="minorHAnsi" w:cs="Arial"/>
          <w:b/>
          <w:sz w:val="22"/>
          <w:szCs w:val="22"/>
          <w:lang w:val="en-US" w:eastAsia="en-US"/>
        </w:rPr>
        <w:t xml:space="preserve">E-mail: </w:t>
      </w:r>
      <w:hyperlink r:id="rId7" w:history="1">
        <w:r w:rsidRPr="007626FD">
          <w:rPr>
            <w:rFonts w:asciiTheme="minorHAnsi" w:eastAsiaTheme="minorHAnsi" w:hAnsiTheme="minorHAnsi" w:cstheme="minorBidi"/>
            <w:b/>
            <w:sz w:val="22"/>
            <w:szCs w:val="22"/>
            <w:lang w:val="en-US" w:eastAsia="en-US"/>
          </w:rPr>
          <w:t>mail@attik.pde.sch.gr</w:t>
        </w:r>
      </w:hyperlink>
    </w:p>
    <w:p w:rsidR="005D0391" w:rsidRPr="007626FD" w:rsidRDefault="005D0391" w:rsidP="005D0391">
      <w:pPr>
        <w:rPr>
          <w:rFonts w:asciiTheme="minorHAnsi" w:eastAsiaTheme="minorHAnsi" w:hAnsiTheme="minorHAnsi" w:cs="Arial"/>
          <w:b/>
          <w:sz w:val="22"/>
          <w:szCs w:val="22"/>
          <w:lang w:eastAsia="en-US"/>
        </w:rPr>
      </w:pPr>
      <w:proofErr w:type="spellStart"/>
      <w:r w:rsidRPr="007626FD">
        <w:rPr>
          <w:rFonts w:asciiTheme="minorHAnsi" w:eastAsiaTheme="minorHAnsi" w:hAnsiTheme="minorHAnsi" w:cs="Arial"/>
          <w:b/>
          <w:sz w:val="22"/>
          <w:szCs w:val="22"/>
          <w:lang w:eastAsia="en-US"/>
        </w:rPr>
        <w:t>Ηλ</w:t>
      </w:r>
      <w:proofErr w:type="spellEnd"/>
      <w:r w:rsidRPr="007626FD">
        <w:rPr>
          <w:rFonts w:asciiTheme="minorHAnsi" w:eastAsiaTheme="minorHAnsi" w:hAnsiTheme="minorHAnsi" w:cs="Arial"/>
          <w:b/>
          <w:sz w:val="22"/>
          <w:szCs w:val="22"/>
          <w:lang w:eastAsia="en-US"/>
        </w:rPr>
        <w:t xml:space="preserve">. Διεύθυνση: </w:t>
      </w:r>
      <w:hyperlink r:id="rId8" w:history="1">
        <w:r w:rsidRPr="007626FD">
          <w:rPr>
            <w:rFonts w:asciiTheme="minorHAnsi" w:eastAsiaTheme="minorHAnsi" w:hAnsiTheme="minorHAnsi" w:cs="Arial"/>
            <w:b/>
            <w:color w:val="0000FF"/>
            <w:sz w:val="22"/>
            <w:szCs w:val="22"/>
            <w:u w:val="single"/>
            <w:lang w:eastAsia="en-US"/>
          </w:rPr>
          <w:t>http://attik.pde.sch.gr</w:t>
        </w:r>
      </w:hyperlink>
      <w:r w:rsidRPr="007626FD">
        <w:rPr>
          <w:rFonts w:asciiTheme="minorHAnsi" w:eastAsiaTheme="minorHAnsi" w:hAnsiTheme="minorHAnsi" w:cs="Arial"/>
          <w:b/>
          <w:sz w:val="22"/>
          <w:szCs w:val="22"/>
          <w:lang w:eastAsia="en-US"/>
        </w:rPr>
        <w:t xml:space="preserve">                                                 Αθήνα,     17 -10-2017</w:t>
      </w:r>
    </w:p>
    <w:p w:rsidR="005D0391" w:rsidRPr="007626FD" w:rsidRDefault="005D0391" w:rsidP="005D0391">
      <w:pPr>
        <w:rPr>
          <w:rFonts w:asciiTheme="minorHAnsi" w:eastAsiaTheme="minorHAnsi" w:hAnsiTheme="minorHAnsi" w:cs="Arial"/>
          <w:b/>
          <w:sz w:val="22"/>
          <w:szCs w:val="22"/>
          <w:lang w:eastAsia="en-US"/>
        </w:rPr>
      </w:pPr>
    </w:p>
    <w:p w:rsidR="005D0391" w:rsidRPr="007626FD" w:rsidRDefault="005D0391" w:rsidP="005D0391">
      <w:pPr>
        <w:rPr>
          <w:rFonts w:asciiTheme="minorHAnsi" w:eastAsiaTheme="minorHAnsi" w:hAnsiTheme="minorHAnsi" w:cstheme="minorBidi"/>
          <w:b/>
          <w:sz w:val="22"/>
          <w:szCs w:val="22"/>
          <w:u w:val="single"/>
          <w:lang w:eastAsia="en-US"/>
        </w:rPr>
      </w:pPr>
    </w:p>
    <w:p w:rsidR="005D0391" w:rsidRPr="007626FD" w:rsidRDefault="005D0391" w:rsidP="005D0391">
      <w:pPr>
        <w:jc w:val="center"/>
        <w:rPr>
          <w:rFonts w:asciiTheme="minorHAnsi" w:eastAsiaTheme="minorHAnsi" w:hAnsiTheme="minorHAnsi" w:cstheme="minorBidi"/>
          <w:b/>
          <w:sz w:val="24"/>
          <w:szCs w:val="24"/>
          <w:u w:val="single"/>
          <w:lang w:eastAsia="en-US"/>
        </w:rPr>
      </w:pPr>
    </w:p>
    <w:p w:rsidR="005D0391" w:rsidRPr="007626FD" w:rsidRDefault="005D0391" w:rsidP="005D0391">
      <w:pPr>
        <w:jc w:val="center"/>
        <w:rPr>
          <w:rFonts w:asciiTheme="minorHAnsi" w:eastAsiaTheme="minorHAnsi" w:hAnsiTheme="minorHAnsi" w:cstheme="minorBidi"/>
          <w:b/>
          <w:sz w:val="24"/>
          <w:szCs w:val="24"/>
          <w:u w:val="single"/>
          <w:lang w:eastAsia="en-US"/>
        </w:rPr>
      </w:pPr>
      <w:r w:rsidRPr="007626FD">
        <w:rPr>
          <w:rFonts w:asciiTheme="minorHAnsi" w:eastAsiaTheme="minorHAnsi" w:hAnsiTheme="minorHAnsi" w:cstheme="minorBidi"/>
          <w:b/>
          <w:sz w:val="24"/>
          <w:szCs w:val="24"/>
          <w:u w:val="single"/>
          <w:lang w:eastAsia="en-US"/>
        </w:rPr>
        <w:t>ΔΕΛΤΙΟ ΤΥΠΟΥ</w:t>
      </w:r>
    </w:p>
    <w:p w:rsidR="005D0391" w:rsidRPr="007626FD" w:rsidRDefault="005D0391" w:rsidP="005D0391">
      <w:pPr>
        <w:rPr>
          <w:rFonts w:asciiTheme="minorHAnsi" w:eastAsiaTheme="minorHAnsi" w:hAnsiTheme="minorHAnsi" w:cstheme="minorBidi"/>
          <w:b/>
          <w:sz w:val="24"/>
          <w:szCs w:val="24"/>
          <w:u w:val="single"/>
          <w:lang w:eastAsia="en-US"/>
        </w:rPr>
      </w:pPr>
    </w:p>
    <w:p w:rsidR="005D0391" w:rsidRPr="007626FD" w:rsidRDefault="005D0391" w:rsidP="005D0391">
      <w:pPr>
        <w:rPr>
          <w:rFonts w:asciiTheme="minorHAnsi" w:eastAsiaTheme="minorHAnsi" w:hAnsiTheme="minorHAnsi" w:cstheme="minorBidi"/>
          <w:b/>
          <w:sz w:val="24"/>
          <w:szCs w:val="24"/>
          <w:u w:val="single"/>
          <w:lang w:eastAsia="en-US"/>
        </w:rPr>
      </w:pPr>
    </w:p>
    <w:p w:rsidR="005D0391" w:rsidRPr="007626FD" w:rsidRDefault="005D0391" w:rsidP="005D0391">
      <w:pPr>
        <w:jc w:val="both"/>
        <w:rPr>
          <w:rFonts w:asciiTheme="minorHAnsi" w:eastAsiaTheme="minorHAnsi" w:hAnsiTheme="minorHAnsi" w:cstheme="minorBidi"/>
          <w:b/>
          <w:sz w:val="24"/>
          <w:szCs w:val="24"/>
          <w:lang w:eastAsia="en-US"/>
        </w:rPr>
      </w:pPr>
      <w:r w:rsidRPr="007626FD">
        <w:rPr>
          <w:rFonts w:asciiTheme="minorHAnsi" w:eastAsiaTheme="minorHAnsi" w:hAnsiTheme="minorHAnsi" w:cstheme="minorBidi"/>
          <w:b/>
          <w:sz w:val="24"/>
          <w:szCs w:val="24"/>
          <w:lang w:eastAsia="en-US"/>
        </w:rPr>
        <w:t>Ενημέρωση για τις πρ</w:t>
      </w:r>
      <w:r w:rsidR="00470955">
        <w:rPr>
          <w:rFonts w:asciiTheme="minorHAnsi" w:eastAsiaTheme="minorHAnsi" w:hAnsiTheme="minorHAnsi" w:cstheme="minorBidi"/>
          <w:b/>
          <w:sz w:val="24"/>
          <w:szCs w:val="24"/>
          <w:lang w:eastAsia="en-US"/>
        </w:rPr>
        <w:t>ο</w:t>
      </w:r>
      <w:r w:rsidRPr="007626FD">
        <w:rPr>
          <w:rFonts w:asciiTheme="minorHAnsi" w:eastAsiaTheme="minorHAnsi" w:hAnsiTheme="minorHAnsi" w:cstheme="minorBidi"/>
          <w:b/>
          <w:sz w:val="24"/>
          <w:szCs w:val="24"/>
          <w:lang w:eastAsia="en-US"/>
        </w:rPr>
        <w:t xml:space="preserve">σλήψεις προσωρινών αναπληρωτών Ειδικού Εκπαιδευτικού Προσωπικού και Ειδικού Βοηθητικού Προσωπικού σε δομές Ειδικής Αγωγής (ΣΜΕΑΕ, ΚΕΔΔΥ, ΕΔΕΑΥ, εξειδικευμένη υποστήριξη μαθητών που φοιτούν σε σχολικές μονάδες γενικής αγωγής και Ένταξη Ευάλωτων Κοινωνικών Ομάδων στα Σχολεία-Τάξεις Υποδοχής) της Περιφερειακής Διεύθυνσης Εκπαίδευσης Αττικής για το σχολικό έτος 2017-2018. </w:t>
      </w:r>
    </w:p>
    <w:p w:rsidR="005D0391" w:rsidRPr="007626FD" w:rsidRDefault="005D0391" w:rsidP="005D0391">
      <w:pPr>
        <w:rPr>
          <w:rFonts w:asciiTheme="minorHAnsi" w:eastAsiaTheme="minorHAnsi" w:hAnsiTheme="minorHAnsi" w:cstheme="minorBidi"/>
          <w:sz w:val="24"/>
          <w:szCs w:val="24"/>
          <w:lang w:eastAsia="en-US"/>
        </w:rPr>
      </w:pPr>
    </w:p>
    <w:p w:rsidR="00470955" w:rsidRDefault="005D0391" w:rsidP="00470955">
      <w:pPr>
        <w:ind w:firstLine="426"/>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 xml:space="preserve">Μέχρι σήμερα έχουν διατεθεί από το Υπουργείο Παιδείας, Έρευνας και Θρησκευμάτων συνολικά </w:t>
      </w:r>
      <w:r w:rsidRPr="007626FD">
        <w:rPr>
          <w:rFonts w:asciiTheme="minorHAnsi" w:eastAsiaTheme="minorHAnsi" w:hAnsiTheme="minorHAnsi" w:cstheme="minorBidi"/>
          <w:b/>
          <w:sz w:val="24"/>
          <w:szCs w:val="24"/>
          <w:lang w:eastAsia="en-US"/>
        </w:rPr>
        <w:t>813 πιστώσεις</w:t>
      </w:r>
      <w:r w:rsidRPr="007626FD">
        <w:rPr>
          <w:rFonts w:asciiTheme="minorHAnsi" w:eastAsiaTheme="minorHAnsi" w:hAnsiTheme="minorHAnsi" w:cstheme="minorBidi"/>
          <w:sz w:val="24"/>
          <w:szCs w:val="24"/>
          <w:lang w:eastAsia="en-US"/>
        </w:rPr>
        <w:t xml:space="preserve"> για πρόσληψη αναπληρωτών Ειδικού Εκπαιδευτικού και Ειδικού Βοηθητικού Προσωπικού σε δομές Ειδικής Αγωγής της Περιφερειακής Διεύθυνσης Εκπαίδευσης Αττικής.</w:t>
      </w:r>
    </w:p>
    <w:p w:rsidR="005D0391" w:rsidRPr="00470955" w:rsidRDefault="005D0391" w:rsidP="00470955">
      <w:pPr>
        <w:ind w:firstLine="426"/>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Πιο συγκεκριμένα:</w:t>
      </w:r>
    </w:p>
    <w:p w:rsidR="005D0391" w:rsidRPr="007626FD" w:rsidRDefault="005D0391" w:rsidP="005D0391">
      <w:pPr>
        <w:numPr>
          <w:ilvl w:val="0"/>
          <w:numId w:val="1"/>
        </w:numPr>
        <w:contextualSpacing/>
        <w:jc w:val="both"/>
        <w:rPr>
          <w:rFonts w:ascii="Calibri" w:eastAsiaTheme="minorHAnsi" w:hAnsi="Calibri" w:cs="Calibri"/>
          <w:sz w:val="24"/>
          <w:szCs w:val="24"/>
          <w:lang w:eastAsia="en-US"/>
        </w:rPr>
      </w:pPr>
      <w:r w:rsidRPr="007626FD">
        <w:rPr>
          <w:rFonts w:asciiTheme="minorHAnsi" w:eastAsiaTheme="minorHAnsi" w:hAnsiTheme="minorHAnsi" w:cstheme="minorBidi"/>
          <w:sz w:val="24"/>
          <w:szCs w:val="24"/>
          <w:lang w:eastAsia="en-US"/>
        </w:rPr>
        <w:t>Στο πλαίσιο του «</w:t>
      </w:r>
      <w:r w:rsidRPr="007626FD">
        <w:rPr>
          <w:rFonts w:asciiTheme="minorHAnsi" w:eastAsiaTheme="minorHAnsi" w:hAnsiTheme="minorHAnsi" w:cstheme="minorBidi"/>
          <w:b/>
          <w:sz w:val="24"/>
          <w:szCs w:val="24"/>
          <w:lang w:eastAsia="en-US"/>
        </w:rPr>
        <w:t>Προγράμματος μέτρων εξατομικευμένης υποστήριξης μαθητών με αναπηρίες ή/και ειδικές εκπαιδευτικές ανάγκες</w:t>
      </w:r>
      <w:r w:rsidRPr="007626FD">
        <w:rPr>
          <w:rFonts w:asciiTheme="minorHAnsi" w:eastAsiaTheme="minorHAnsi" w:hAnsiTheme="minorHAnsi" w:cstheme="minorBidi"/>
          <w:sz w:val="24"/>
          <w:szCs w:val="24"/>
          <w:lang w:eastAsia="en-US"/>
        </w:rPr>
        <w:t>»,</w:t>
      </w:r>
      <w:r w:rsidRPr="007626FD">
        <w:rPr>
          <w:rFonts w:asciiTheme="minorHAnsi" w:eastAsiaTheme="minorHAnsi" w:hAnsiTheme="minorHAnsi" w:cstheme="minorBidi"/>
          <w:b/>
          <w:sz w:val="24"/>
          <w:szCs w:val="24"/>
          <w:lang w:eastAsia="en-US"/>
        </w:rPr>
        <w:t xml:space="preserve"> </w:t>
      </w:r>
      <w:r w:rsidRPr="007626FD">
        <w:rPr>
          <w:rFonts w:asciiTheme="minorHAnsi" w:eastAsiaTheme="minorHAnsi" w:hAnsiTheme="minorHAnsi" w:cstheme="minorBidi"/>
          <w:sz w:val="24"/>
          <w:szCs w:val="24"/>
          <w:lang w:eastAsia="en-US"/>
        </w:rPr>
        <w:t xml:space="preserve">δόθηκαν </w:t>
      </w:r>
      <w:r w:rsidRPr="007626FD">
        <w:rPr>
          <w:rFonts w:asciiTheme="minorHAnsi" w:eastAsiaTheme="minorHAnsi" w:hAnsiTheme="minorHAnsi" w:cstheme="minorBidi"/>
          <w:b/>
          <w:sz w:val="24"/>
          <w:szCs w:val="24"/>
          <w:lang w:eastAsia="en-US"/>
        </w:rPr>
        <w:t>368 πιστώσεις</w:t>
      </w:r>
      <w:r w:rsidR="00AD5FF9">
        <w:rPr>
          <w:rFonts w:asciiTheme="minorHAnsi" w:eastAsiaTheme="minorHAnsi" w:hAnsiTheme="minorHAnsi" w:cstheme="minorBidi"/>
          <w:b/>
          <w:sz w:val="24"/>
          <w:szCs w:val="24"/>
          <w:lang w:eastAsia="en-US"/>
        </w:rPr>
        <w:t>-</w:t>
      </w:r>
      <w:r w:rsidR="00AD5FF9" w:rsidRPr="00AD5FF9">
        <w:rPr>
          <w:rFonts w:asciiTheme="minorHAnsi" w:eastAsiaTheme="minorHAnsi" w:hAnsiTheme="minorHAnsi" w:cstheme="minorBidi"/>
          <w:sz w:val="24"/>
          <w:szCs w:val="24"/>
          <w:lang w:eastAsia="en-US"/>
        </w:rPr>
        <w:t>172 για πρόσληψη αναπληρωτών ΕΒΠ</w:t>
      </w:r>
      <w:r w:rsidR="00AD5FF9">
        <w:rPr>
          <w:rFonts w:asciiTheme="minorHAnsi" w:eastAsiaTheme="minorHAnsi" w:hAnsiTheme="minorHAnsi" w:cstheme="minorBidi"/>
          <w:sz w:val="24"/>
          <w:szCs w:val="24"/>
          <w:lang w:eastAsia="en-US"/>
        </w:rPr>
        <w:t xml:space="preserve"> και 196</w:t>
      </w:r>
      <w:r w:rsidRPr="007626FD">
        <w:rPr>
          <w:rFonts w:asciiTheme="minorHAnsi" w:eastAsiaTheme="minorHAnsi" w:hAnsiTheme="minorHAnsi" w:cstheme="minorBidi"/>
          <w:b/>
          <w:sz w:val="24"/>
          <w:szCs w:val="24"/>
          <w:lang w:eastAsia="en-US"/>
        </w:rPr>
        <w:t xml:space="preserve"> </w:t>
      </w:r>
      <w:r w:rsidR="00AD5FF9">
        <w:rPr>
          <w:rFonts w:ascii="Calibri" w:eastAsiaTheme="minorHAnsi" w:hAnsi="Calibri" w:cs="Calibri"/>
          <w:sz w:val="24"/>
          <w:szCs w:val="24"/>
          <w:lang w:eastAsia="en-US"/>
        </w:rPr>
        <w:t xml:space="preserve">για πρόσληψη αναπληρωτών </w:t>
      </w:r>
      <w:r w:rsidRPr="007626FD">
        <w:rPr>
          <w:rFonts w:ascii="Calibri" w:eastAsiaTheme="minorHAnsi" w:hAnsi="Calibri" w:cs="Calibri"/>
          <w:sz w:val="24"/>
          <w:szCs w:val="24"/>
          <w:lang w:eastAsia="en-US"/>
        </w:rPr>
        <w:t xml:space="preserve"> ΕΕΠ.</w:t>
      </w:r>
    </w:p>
    <w:p w:rsidR="005D0391" w:rsidRPr="007626FD" w:rsidRDefault="005D0391" w:rsidP="005D0391">
      <w:pPr>
        <w:ind w:left="767"/>
        <w:contextualSpacing/>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 xml:space="preserve"> </w:t>
      </w:r>
    </w:p>
    <w:p w:rsidR="005D0391" w:rsidRPr="007626FD" w:rsidRDefault="005D0391" w:rsidP="005D0391">
      <w:pPr>
        <w:numPr>
          <w:ilvl w:val="0"/>
          <w:numId w:val="1"/>
        </w:numPr>
        <w:contextualSpacing/>
        <w:jc w:val="both"/>
        <w:rPr>
          <w:rFonts w:ascii="Calibri" w:eastAsiaTheme="minorHAnsi" w:hAnsi="Calibri" w:cs="Calibri"/>
          <w:sz w:val="24"/>
          <w:szCs w:val="24"/>
          <w:lang w:eastAsia="en-US"/>
        </w:rPr>
      </w:pPr>
      <w:r w:rsidRPr="007626FD">
        <w:rPr>
          <w:rFonts w:asciiTheme="minorHAnsi" w:eastAsiaTheme="minorHAnsi" w:hAnsiTheme="minorHAnsi" w:cstheme="minorBidi"/>
          <w:sz w:val="24"/>
          <w:szCs w:val="24"/>
          <w:lang w:eastAsia="en-US"/>
        </w:rPr>
        <w:t>Στο πλαίσιο του «</w:t>
      </w:r>
      <w:proofErr w:type="spellStart"/>
      <w:r w:rsidRPr="007626FD">
        <w:rPr>
          <w:rFonts w:ascii="Calibri" w:eastAsiaTheme="minorHAnsi" w:hAnsi="Calibri" w:cs="Calibri"/>
          <w:b/>
          <w:sz w:val="24"/>
          <w:szCs w:val="24"/>
          <w:lang w:eastAsia="en-US"/>
        </w:rPr>
        <w:t>Πρ</w:t>
      </w:r>
      <w:proofErr w:type="spellEnd"/>
      <w:r w:rsidRPr="007626FD">
        <w:rPr>
          <w:rFonts w:ascii="Calibri" w:eastAsiaTheme="minorHAnsi" w:hAnsi="Calibri" w:cs="Calibri"/>
          <w:b/>
          <w:sz w:val="24"/>
          <w:szCs w:val="24"/>
          <w:lang w:val="en-US" w:eastAsia="en-US"/>
        </w:rPr>
        <w:t>o</w:t>
      </w:r>
      <w:r w:rsidRPr="007626FD">
        <w:rPr>
          <w:rFonts w:ascii="Calibri" w:eastAsiaTheme="minorHAnsi" w:hAnsi="Calibri" w:cs="Calibri"/>
          <w:b/>
          <w:sz w:val="24"/>
          <w:szCs w:val="24"/>
          <w:lang w:eastAsia="en-US"/>
        </w:rPr>
        <w:t>γράμματος εξειδικευμένης εκπαιδευτικής υποστήριξης για ένταξη μαθητών με αναπηρία ή/και ειδικές εκπαιδευτικές ανάγκες»</w:t>
      </w:r>
      <w:r w:rsidRPr="007626FD">
        <w:rPr>
          <w:rFonts w:ascii="Calibri" w:eastAsiaTheme="minorHAnsi" w:hAnsi="Calibri" w:cs="Calibri"/>
          <w:sz w:val="24"/>
          <w:szCs w:val="24"/>
          <w:lang w:eastAsia="en-US"/>
        </w:rPr>
        <w:t xml:space="preserve">,  διατέθηκαν συνολικά </w:t>
      </w:r>
      <w:r w:rsidRPr="007626FD">
        <w:rPr>
          <w:rFonts w:ascii="Calibri" w:eastAsiaTheme="minorHAnsi" w:hAnsi="Calibri" w:cs="Calibri"/>
          <w:b/>
          <w:sz w:val="24"/>
          <w:szCs w:val="24"/>
          <w:lang w:eastAsia="en-US"/>
        </w:rPr>
        <w:t>337 πιστώσεις</w:t>
      </w:r>
      <w:r w:rsidRPr="007626FD">
        <w:rPr>
          <w:rFonts w:ascii="Calibri" w:eastAsiaTheme="minorHAnsi" w:hAnsi="Calibri" w:cs="Calibri"/>
          <w:sz w:val="24"/>
          <w:szCs w:val="24"/>
          <w:lang w:eastAsia="en-US"/>
        </w:rPr>
        <w:t xml:space="preserve"> – 193 για πρόσληψη αναπληρωτών ΕΒΠ και 144 για πρόσληψη αναπληρωτών ΕΕΠ, κλάδου ΠΕ25.</w:t>
      </w:r>
    </w:p>
    <w:p w:rsidR="008927BD" w:rsidRPr="005D0391" w:rsidRDefault="008927BD"/>
    <w:p w:rsidR="00667425" w:rsidRPr="005D0391" w:rsidRDefault="00667425"/>
    <w:p w:rsidR="00B35B95" w:rsidRPr="005D0391" w:rsidRDefault="00B35B95"/>
    <w:p w:rsidR="008927BD" w:rsidRDefault="008927BD">
      <w:r>
        <w:rPr>
          <w:noProof/>
        </w:rPr>
        <w:drawing>
          <wp:inline distT="0" distB="0" distL="0" distR="0" wp14:anchorId="55D61D0F" wp14:editId="12259E05">
            <wp:extent cx="5267325" cy="790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91623"/>
                    </a:xfrm>
                    <a:prstGeom prst="rect">
                      <a:avLst/>
                    </a:prstGeom>
                    <a:noFill/>
                    <a:ln>
                      <a:noFill/>
                    </a:ln>
                  </pic:spPr>
                </pic:pic>
              </a:graphicData>
            </a:graphic>
          </wp:inline>
        </w:drawing>
      </w:r>
    </w:p>
    <w:p w:rsidR="008927BD" w:rsidRDefault="008927BD"/>
    <w:p w:rsidR="008927BD" w:rsidRDefault="008927BD"/>
    <w:p w:rsidR="008927BD" w:rsidRDefault="008927BD"/>
    <w:p w:rsidR="008927BD" w:rsidRDefault="008927BD">
      <w:r>
        <w:rPr>
          <w:noProof/>
        </w:rPr>
        <w:drawing>
          <wp:inline distT="0" distB="0" distL="0" distR="0" wp14:anchorId="7488C91B" wp14:editId="3E9806D2">
            <wp:extent cx="5276848" cy="685800"/>
            <wp:effectExtent l="0" t="0" r="63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685470"/>
                    </a:xfrm>
                    <a:prstGeom prst="rect">
                      <a:avLst/>
                    </a:prstGeom>
                    <a:noFill/>
                  </pic:spPr>
                </pic:pic>
              </a:graphicData>
            </a:graphic>
          </wp:inline>
        </w:drawing>
      </w:r>
    </w:p>
    <w:p w:rsidR="008927BD" w:rsidRDefault="008927BD"/>
    <w:p w:rsidR="008927BD" w:rsidRDefault="008927BD"/>
    <w:p w:rsidR="008927BD" w:rsidRDefault="008927BD"/>
    <w:p w:rsidR="005D0391" w:rsidRPr="007626FD" w:rsidRDefault="005D0391" w:rsidP="005D0391">
      <w:pPr>
        <w:numPr>
          <w:ilvl w:val="0"/>
          <w:numId w:val="1"/>
        </w:numPr>
        <w:contextualSpacing/>
        <w:jc w:val="both"/>
        <w:rPr>
          <w:rFonts w:asciiTheme="minorHAnsi" w:eastAsiaTheme="minorHAnsi" w:hAnsiTheme="minorHAnsi" w:cstheme="minorBidi"/>
          <w:sz w:val="24"/>
          <w:szCs w:val="24"/>
          <w:lang w:eastAsia="en-US"/>
        </w:rPr>
      </w:pPr>
      <w:r w:rsidRPr="007626FD">
        <w:rPr>
          <w:rFonts w:ascii="Calibri" w:eastAsiaTheme="minorHAnsi" w:hAnsi="Calibri" w:cs="Calibri"/>
          <w:sz w:val="24"/>
          <w:szCs w:val="24"/>
          <w:lang w:eastAsia="en-US"/>
        </w:rPr>
        <w:t>Στο πλαίσιο της Πράξης</w:t>
      </w:r>
      <w:r w:rsidRPr="007626FD">
        <w:rPr>
          <w:rFonts w:asciiTheme="minorHAnsi" w:eastAsiaTheme="minorHAnsi" w:hAnsiTheme="minorHAnsi" w:cstheme="minorBidi"/>
          <w:b/>
          <w:sz w:val="24"/>
          <w:szCs w:val="24"/>
          <w:lang w:eastAsia="en-US"/>
        </w:rPr>
        <w:t xml:space="preserve"> «Ανάπτυξη υποστηρικτικών δομών για την ένταξη και συμπερίληψη στην εκπαίδευση των μαθητών με αναπηρία ή/και ειδικές εκπαιδευτικές ανάγκες»</w:t>
      </w:r>
      <w:r w:rsidRPr="007626FD">
        <w:rPr>
          <w:rFonts w:asciiTheme="minorHAnsi" w:eastAsiaTheme="minorHAnsi" w:hAnsiTheme="minorHAnsi" w:cstheme="minorBidi"/>
          <w:sz w:val="24"/>
          <w:szCs w:val="24"/>
          <w:lang w:eastAsia="en-US"/>
        </w:rPr>
        <w:t xml:space="preserve">, χορηγήθηκαν </w:t>
      </w:r>
      <w:r w:rsidRPr="007626FD">
        <w:rPr>
          <w:rFonts w:asciiTheme="minorHAnsi" w:eastAsiaTheme="minorHAnsi" w:hAnsiTheme="minorHAnsi" w:cstheme="minorBidi"/>
          <w:b/>
          <w:sz w:val="24"/>
          <w:szCs w:val="24"/>
          <w:lang w:eastAsia="en-US"/>
        </w:rPr>
        <w:t>98 πιστώσεις</w:t>
      </w:r>
      <w:r w:rsidRPr="007626FD">
        <w:rPr>
          <w:rFonts w:asciiTheme="minorHAnsi" w:eastAsiaTheme="minorHAnsi" w:hAnsiTheme="minorHAnsi" w:cstheme="minorBidi"/>
          <w:sz w:val="24"/>
          <w:szCs w:val="24"/>
          <w:lang w:eastAsia="en-US"/>
        </w:rPr>
        <w:t xml:space="preserve"> – 50 πιστώσεις για τη στελέχωση των Κέντρων </w:t>
      </w:r>
      <w:proofErr w:type="spellStart"/>
      <w:r w:rsidRPr="007626FD">
        <w:rPr>
          <w:rFonts w:asciiTheme="minorHAnsi" w:eastAsiaTheme="minorHAnsi" w:hAnsiTheme="minorHAnsi" w:cstheme="minorBidi"/>
          <w:sz w:val="24"/>
          <w:szCs w:val="24"/>
          <w:lang w:eastAsia="en-US"/>
        </w:rPr>
        <w:t>Διαφοροδιάγνωσης</w:t>
      </w:r>
      <w:proofErr w:type="spellEnd"/>
      <w:r w:rsidRPr="007626FD">
        <w:rPr>
          <w:rFonts w:asciiTheme="minorHAnsi" w:eastAsiaTheme="minorHAnsi" w:hAnsiTheme="minorHAnsi" w:cstheme="minorBidi"/>
          <w:sz w:val="24"/>
          <w:szCs w:val="24"/>
          <w:lang w:eastAsia="en-US"/>
        </w:rPr>
        <w:t xml:space="preserve">, Διάγνωσης και Υποστήριξης (ΚΕΔΔΥ) και 48 για τη στελέχωση των Επιτροπών Διαγνωστικής Εκπαιδευτικής Αξιολόγησης και Υποστήριξης (ΕΔΕΑΥ). </w:t>
      </w:r>
    </w:p>
    <w:p w:rsidR="005D0391" w:rsidRPr="007626FD" w:rsidRDefault="005D0391" w:rsidP="005D0391">
      <w:pPr>
        <w:ind w:left="720"/>
        <w:contextualSpacing/>
        <w:rPr>
          <w:rFonts w:asciiTheme="minorHAnsi" w:eastAsiaTheme="minorHAnsi" w:hAnsiTheme="minorHAnsi" w:cstheme="minorBidi"/>
          <w:sz w:val="24"/>
          <w:szCs w:val="24"/>
          <w:lang w:eastAsia="en-US"/>
        </w:rPr>
      </w:pPr>
    </w:p>
    <w:p w:rsidR="005D0391" w:rsidRPr="007626FD" w:rsidRDefault="005D0391" w:rsidP="005D0391">
      <w:pPr>
        <w:numPr>
          <w:ilvl w:val="0"/>
          <w:numId w:val="1"/>
        </w:numPr>
        <w:contextualSpacing/>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 xml:space="preserve">Τέλος, στο πλαίσιο της πράξης </w:t>
      </w:r>
      <w:r w:rsidRPr="007626FD">
        <w:rPr>
          <w:rFonts w:asciiTheme="minorHAnsi" w:eastAsiaTheme="minorHAnsi" w:hAnsiTheme="minorHAnsi" w:cstheme="minorBidi"/>
          <w:b/>
          <w:sz w:val="24"/>
          <w:szCs w:val="24"/>
          <w:lang w:eastAsia="en-US"/>
        </w:rPr>
        <w:t>«Ένταξη Ευάλωτων Κοινωνικών Ομάδων (ΕΚΟ) στα σχολεία – Τάξεις Υποδοχής»</w:t>
      </w:r>
      <w:r w:rsidRPr="007626FD">
        <w:rPr>
          <w:rFonts w:asciiTheme="minorHAnsi" w:eastAsiaTheme="minorHAnsi" w:hAnsiTheme="minorHAnsi" w:cstheme="minorBidi"/>
          <w:sz w:val="24"/>
          <w:szCs w:val="24"/>
          <w:lang w:eastAsia="en-US"/>
        </w:rPr>
        <w:t xml:space="preserve">  διατέθηκαν συνολικά </w:t>
      </w:r>
      <w:r w:rsidRPr="007626FD">
        <w:rPr>
          <w:rFonts w:asciiTheme="minorHAnsi" w:eastAsiaTheme="minorHAnsi" w:hAnsiTheme="minorHAnsi" w:cstheme="minorBidi"/>
          <w:b/>
          <w:sz w:val="24"/>
          <w:szCs w:val="24"/>
          <w:lang w:eastAsia="en-US"/>
        </w:rPr>
        <w:t xml:space="preserve">10 πιστώσεις </w:t>
      </w:r>
      <w:r w:rsidRPr="007626FD">
        <w:rPr>
          <w:rFonts w:asciiTheme="minorHAnsi" w:eastAsiaTheme="minorHAnsi" w:hAnsiTheme="minorHAnsi" w:cstheme="minorBidi"/>
          <w:sz w:val="24"/>
          <w:szCs w:val="24"/>
          <w:lang w:eastAsia="en-US"/>
        </w:rPr>
        <w:t>για πρόσληψη αναπληρωτών ΠΕ30.</w:t>
      </w:r>
    </w:p>
    <w:p w:rsidR="005D0391" w:rsidRPr="007626FD" w:rsidRDefault="005D0391" w:rsidP="005D0391">
      <w:pPr>
        <w:ind w:left="720"/>
        <w:contextualSpacing/>
        <w:rPr>
          <w:rFonts w:asciiTheme="minorHAnsi" w:eastAsiaTheme="minorHAnsi" w:hAnsiTheme="minorHAnsi" w:cstheme="minorBidi"/>
          <w:sz w:val="24"/>
          <w:szCs w:val="24"/>
          <w:lang w:eastAsia="en-US"/>
        </w:rPr>
      </w:pPr>
    </w:p>
    <w:p w:rsidR="005D0391" w:rsidRPr="007626FD" w:rsidRDefault="005D0391" w:rsidP="005D0391">
      <w:pPr>
        <w:ind w:left="767"/>
        <w:contextualSpacing/>
        <w:jc w:val="both"/>
        <w:rPr>
          <w:rFonts w:asciiTheme="minorHAnsi" w:eastAsiaTheme="minorHAnsi" w:hAnsiTheme="minorHAnsi" w:cstheme="minorBidi"/>
          <w:sz w:val="24"/>
          <w:szCs w:val="24"/>
          <w:lang w:eastAsia="en-US"/>
        </w:rPr>
      </w:pPr>
    </w:p>
    <w:p w:rsidR="005D0391" w:rsidRPr="00B07303" w:rsidRDefault="005D0391" w:rsidP="00470955">
      <w:pPr>
        <w:ind w:firstLine="407"/>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Αμέσως μετά την κύρωση των οριστικών πινάκων κατάταξης των υποψηφίων αναπληρωτών και ωρομισθίων - βάσει των  αποφάσεων που εστάλησαν από τον ΑΣΕΠ για τις υποβληθείσες ενστάσεις επί των προσωρινών πινάκων – καθώς και τη διάθεση των σχετικών πιστώσεων από το ΥΠ.Π.Ε.Θ., η Περιφερειακή Διεύθυνση Εκπαίδευσης Αττικής εκκίνησε τη διαδικασία των προσλήψεων και έχει υλοποιήσει - έως και σήμερα</w:t>
      </w:r>
      <w:r w:rsidRPr="00B07303">
        <w:rPr>
          <w:rFonts w:asciiTheme="minorHAnsi" w:eastAsiaTheme="minorHAnsi" w:hAnsiTheme="minorHAnsi" w:cstheme="minorBidi"/>
          <w:sz w:val="24"/>
          <w:szCs w:val="24"/>
          <w:lang w:eastAsia="en-US"/>
        </w:rPr>
        <w:t xml:space="preserve">- </w:t>
      </w:r>
      <w:r w:rsidRPr="00B07303">
        <w:rPr>
          <w:rFonts w:asciiTheme="minorHAnsi" w:eastAsiaTheme="minorHAnsi" w:hAnsiTheme="minorHAnsi" w:cstheme="minorBidi"/>
          <w:b/>
          <w:sz w:val="24"/>
          <w:szCs w:val="24"/>
          <w:lang w:eastAsia="en-US"/>
        </w:rPr>
        <w:t>802 προσλήψεις</w:t>
      </w:r>
      <w:r w:rsidRPr="00B07303">
        <w:rPr>
          <w:rFonts w:asciiTheme="minorHAnsi" w:eastAsiaTheme="minorHAnsi" w:hAnsiTheme="minorHAnsi" w:cstheme="minorBidi"/>
          <w:sz w:val="24"/>
          <w:szCs w:val="24"/>
          <w:lang w:eastAsia="en-US"/>
        </w:rPr>
        <w:t xml:space="preserve"> αναπληρωτών Ε.Ε.Π. και Ε.Β.Π., ενώ βρίσκεται στη διαδικασία πραγματοποίησης </w:t>
      </w:r>
      <w:r w:rsidRPr="00B07303">
        <w:rPr>
          <w:rFonts w:asciiTheme="minorHAnsi" w:eastAsiaTheme="minorHAnsi" w:hAnsiTheme="minorHAnsi" w:cstheme="minorBidi"/>
          <w:b/>
          <w:sz w:val="24"/>
          <w:szCs w:val="24"/>
          <w:lang w:eastAsia="en-US"/>
        </w:rPr>
        <w:t>11 προσλήψεων</w:t>
      </w:r>
      <w:r w:rsidRPr="00B07303">
        <w:rPr>
          <w:rFonts w:asciiTheme="minorHAnsi" w:eastAsiaTheme="minorHAnsi" w:hAnsiTheme="minorHAnsi" w:cstheme="minorBidi"/>
          <w:sz w:val="24"/>
          <w:szCs w:val="24"/>
          <w:lang w:eastAsia="en-US"/>
        </w:rPr>
        <w:t xml:space="preserve"> ακόμη. </w:t>
      </w:r>
    </w:p>
    <w:p w:rsidR="005D0391" w:rsidRPr="00B07303" w:rsidRDefault="005D0391" w:rsidP="00470955">
      <w:pPr>
        <w:ind w:firstLine="407"/>
        <w:jc w:val="both"/>
        <w:rPr>
          <w:rFonts w:asciiTheme="minorHAnsi" w:eastAsiaTheme="minorHAnsi" w:hAnsiTheme="minorHAnsi" w:cstheme="minorBidi"/>
          <w:sz w:val="24"/>
          <w:szCs w:val="24"/>
          <w:lang w:eastAsia="en-US"/>
        </w:rPr>
      </w:pPr>
      <w:r w:rsidRPr="00B07303">
        <w:rPr>
          <w:rFonts w:asciiTheme="minorHAnsi" w:eastAsiaTheme="minorHAnsi" w:hAnsiTheme="minorHAnsi" w:cstheme="minorBidi"/>
          <w:sz w:val="24"/>
          <w:szCs w:val="24"/>
          <w:lang w:eastAsia="en-US"/>
        </w:rPr>
        <w:t>Πιο συγκριμένα, σε δομές Ειδικής Αγωγής (ΣΜΕΑΕ, ΚΕΔΔΥ, ΕΔΕΑΥ, εξειδικευμένη υποστήριξη μαθητών που φοιτούν σε σχολικές μονάδες γενικής αγωγής</w:t>
      </w:r>
      <w:r w:rsidRPr="00B07303">
        <w:rPr>
          <w:rFonts w:asciiTheme="minorHAnsi" w:eastAsiaTheme="minorHAnsi" w:hAnsiTheme="minorHAnsi" w:cstheme="minorBidi"/>
          <w:b/>
          <w:sz w:val="24"/>
          <w:szCs w:val="24"/>
          <w:lang w:eastAsia="en-US"/>
        </w:rPr>
        <w:t xml:space="preserve"> </w:t>
      </w:r>
      <w:r w:rsidRPr="00B07303">
        <w:rPr>
          <w:rFonts w:asciiTheme="minorHAnsi" w:eastAsiaTheme="minorHAnsi" w:hAnsiTheme="minorHAnsi" w:cstheme="minorBidi"/>
          <w:sz w:val="24"/>
          <w:szCs w:val="24"/>
          <w:lang w:eastAsia="en-US"/>
        </w:rPr>
        <w:t>και Ένταξη Ευάλωτων Κοινωνικών Ομάδων στα Σχολεία-Τάξεις Υποδοχής) της Περιφερειακής Διεύθυνσης Εκπαίδευσης Αττικής για το σχολικό έτος 2017-2018, προσλήφθηκαν:</w:t>
      </w:r>
    </w:p>
    <w:p w:rsidR="005D0391" w:rsidRPr="00B07303" w:rsidRDefault="005D0391" w:rsidP="005D0391">
      <w:pPr>
        <w:jc w:val="both"/>
        <w:rPr>
          <w:rFonts w:asciiTheme="minorHAnsi" w:eastAsiaTheme="minorHAnsi" w:hAnsiTheme="minorHAnsi" w:cstheme="minorBidi"/>
          <w:sz w:val="24"/>
          <w:szCs w:val="24"/>
          <w:lang w:eastAsia="en-US"/>
        </w:rPr>
      </w:pPr>
    </w:p>
    <w:p w:rsidR="005D0391" w:rsidRPr="00B07303" w:rsidRDefault="00A80136"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31</w:t>
      </w:r>
      <w:r>
        <w:rPr>
          <w:rFonts w:asciiTheme="minorHAnsi" w:eastAsiaTheme="minorHAnsi" w:hAnsiTheme="minorHAnsi" w:cstheme="minorBidi"/>
          <w:sz w:val="24"/>
          <w:szCs w:val="24"/>
          <w:lang w:eastAsia="en-US"/>
        </w:rPr>
        <w:tab/>
      </w:r>
      <w:r w:rsidR="005D0391" w:rsidRPr="00B07303">
        <w:rPr>
          <w:rFonts w:asciiTheme="minorHAnsi" w:eastAsiaTheme="minorHAnsi" w:hAnsiTheme="minorHAnsi" w:cstheme="minorBidi"/>
          <w:sz w:val="24"/>
          <w:szCs w:val="24"/>
          <w:lang w:eastAsia="en-US"/>
        </w:rPr>
        <w:t>αναπληρωτές κλάδου ΠΕ21/26–Θεραπευτών Λόγου</w:t>
      </w:r>
    </w:p>
    <w:p w:rsidR="005D0391" w:rsidRPr="00B07303" w:rsidRDefault="00A80136"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83</w:t>
      </w:r>
      <w:r>
        <w:rPr>
          <w:rFonts w:asciiTheme="minorHAnsi" w:eastAsiaTheme="minorHAnsi" w:hAnsiTheme="minorHAnsi" w:cstheme="minorBidi"/>
          <w:sz w:val="24"/>
          <w:szCs w:val="24"/>
          <w:lang w:eastAsia="en-US"/>
        </w:rPr>
        <w:tab/>
      </w:r>
      <w:r w:rsidR="005D0391" w:rsidRPr="00B07303">
        <w:rPr>
          <w:rFonts w:asciiTheme="minorHAnsi" w:eastAsiaTheme="minorHAnsi" w:hAnsiTheme="minorHAnsi" w:cstheme="minorBidi"/>
          <w:sz w:val="24"/>
          <w:szCs w:val="24"/>
          <w:lang w:eastAsia="en-US"/>
        </w:rPr>
        <w:t>αναπληρωτές κλάδου ΠΕ23-Ψυχολόγων</w:t>
      </w:r>
    </w:p>
    <w:p w:rsidR="005D0391" w:rsidRPr="00B07303" w:rsidRDefault="005D0391"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sidRPr="00B07303">
        <w:rPr>
          <w:rFonts w:asciiTheme="minorHAnsi" w:eastAsiaTheme="minorHAnsi" w:hAnsiTheme="minorHAnsi" w:cstheme="minorBidi"/>
          <w:sz w:val="24"/>
          <w:szCs w:val="24"/>
          <w:lang w:eastAsia="en-US"/>
        </w:rPr>
        <w:t>2</w:t>
      </w:r>
      <w:r w:rsidR="00A80136">
        <w:rPr>
          <w:rFonts w:asciiTheme="minorHAnsi" w:eastAsiaTheme="minorHAnsi" w:hAnsiTheme="minorHAnsi" w:cstheme="minorBidi"/>
          <w:sz w:val="24"/>
          <w:szCs w:val="24"/>
          <w:lang w:eastAsia="en-US"/>
        </w:rPr>
        <w:tab/>
      </w:r>
      <w:r w:rsidRPr="00B07303">
        <w:rPr>
          <w:rFonts w:asciiTheme="minorHAnsi" w:eastAsiaTheme="minorHAnsi" w:hAnsiTheme="minorHAnsi" w:cstheme="minorBidi"/>
          <w:sz w:val="24"/>
          <w:szCs w:val="24"/>
          <w:lang w:eastAsia="en-US"/>
        </w:rPr>
        <w:t>αναπληρωτές κλάδου ΠΕ24–Παιδοψυχιάτρων</w:t>
      </w:r>
    </w:p>
    <w:p w:rsidR="005D0391" w:rsidRPr="007626FD" w:rsidRDefault="005D0391"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sidRPr="00334FE9">
        <w:rPr>
          <w:rFonts w:asciiTheme="minorHAnsi" w:eastAsiaTheme="minorHAnsi" w:hAnsiTheme="minorHAnsi" w:cstheme="minorBidi"/>
          <w:sz w:val="24"/>
          <w:szCs w:val="24"/>
          <w:lang w:eastAsia="en-US"/>
        </w:rPr>
        <w:t>182</w:t>
      </w:r>
      <w:r w:rsidR="00A80136">
        <w:rPr>
          <w:rFonts w:asciiTheme="minorHAnsi" w:eastAsiaTheme="minorHAnsi" w:hAnsiTheme="minorHAnsi" w:cstheme="minorBidi"/>
          <w:sz w:val="24"/>
          <w:szCs w:val="24"/>
          <w:lang w:eastAsia="en-US"/>
        </w:rPr>
        <w:tab/>
      </w:r>
      <w:r w:rsidRPr="00B07303">
        <w:rPr>
          <w:rFonts w:asciiTheme="minorHAnsi" w:eastAsiaTheme="minorHAnsi" w:hAnsiTheme="minorHAnsi" w:cstheme="minorBidi"/>
          <w:sz w:val="24"/>
          <w:szCs w:val="24"/>
          <w:lang w:eastAsia="en-US"/>
        </w:rPr>
        <w:t xml:space="preserve">αναπληρωτές </w:t>
      </w:r>
      <w:r w:rsidRPr="007626FD">
        <w:rPr>
          <w:rFonts w:asciiTheme="minorHAnsi" w:eastAsiaTheme="minorHAnsi" w:hAnsiTheme="minorHAnsi" w:cstheme="minorBidi"/>
          <w:sz w:val="24"/>
          <w:szCs w:val="24"/>
          <w:lang w:eastAsia="en-US"/>
        </w:rPr>
        <w:t>κλάδου ΠΕ25-Σχολικών Νοσηλευτών</w:t>
      </w:r>
    </w:p>
    <w:p w:rsidR="005D0391" w:rsidRPr="007626FD" w:rsidRDefault="005D0391"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11</w:t>
      </w:r>
      <w:r w:rsidR="00A80136">
        <w:rPr>
          <w:rFonts w:asciiTheme="minorHAnsi" w:eastAsiaTheme="minorHAnsi" w:hAnsiTheme="minorHAnsi" w:cstheme="minorBidi"/>
          <w:sz w:val="24"/>
          <w:szCs w:val="24"/>
          <w:lang w:eastAsia="en-US"/>
        </w:rPr>
        <w:tab/>
      </w:r>
      <w:r w:rsidRPr="007626FD">
        <w:rPr>
          <w:rFonts w:asciiTheme="minorHAnsi" w:eastAsiaTheme="minorHAnsi" w:hAnsiTheme="minorHAnsi" w:cstheme="minorBidi"/>
          <w:sz w:val="24"/>
          <w:szCs w:val="24"/>
          <w:lang w:eastAsia="en-US"/>
        </w:rPr>
        <w:t>αναπληρωτές κλάδου ΠΕ28-Φυσικοθεραπευτών</w:t>
      </w:r>
    </w:p>
    <w:p w:rsidR="005D0391" w:rsidRPr="007626FD" w:rsidRDefault="00A80136"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37</w:t>
      </w:r>
      <w:r>
        <w:rPr>
          <w:rFonts w:asciiTheme="minorHAnsi" w:eastAsiaTheme="minorHAnsi" w:hAnsiTheme="minorHAnsi" w:cstheme="minorBidi"/>
          <w:sz w:val="24"/>
          <w:szCs w:val="24"/>
          <w:lang w:eastAsia="en-US"/>
        </w:rPr>
        <w:tab/>
      </w:r>
      <w:r w:rsidR="005D0391" w:rsidRPr="007626FD">
        <w:rPr>
          <w:rFonts w:asciiTheme="minorHAnsi" w:eastAsiaTheme="minorHAnsi" w:hAnsiTheme="minorHAnsi" w:cstheme="minorBidi"/>
          <w:sz w:val="24"/>
          <w:szCs w:val="24"/>
          <w:lang w:eastAsia="en-US"/>
        </w:rPr>
        <w:t>αναπληρωτές κλάδου ΠΕ29-Εργασιοθεραπευτών</w:t>
      </w:r>
    </w:p>
    <w:p w:rsidR="005D0391" w:rsidRPr="007626FD" w:rsidRDefault="00A80136"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100</w:t>
      </w:r>
      <w:r>
        <w:rPr>
          <w:rFonts w:asciiTheme="minorHAnsi" w:eastAsiaTheme="minorHAnsi" w:hAnsiTheme="minorHAnsi" w:cstheme="minorBidi"/>
          <w:sz w:val="24"/>
          <w:szCs w:val="24"/>
          <w:lang w:eastAsia="en-US"/>
        </w:rPr>
        <w:tab/>
      </w:r>
      <w:r w:rsidR="005D0391" w:rsidRPr="007626FD">
        <w:rPr>
          <w:rFonts w:asciiTheme="minorHAnsi" w:eastAsiaTheme="minorHAnsi" w:hAnsiTheme="minorHAnsi" w:cstheme="minorBidi"/>
          <w:sz w:val="24"/>
          <w:szCs w:val="24"/>
          <w:lang w:eastAsia="en-US"/>
        </w:rPr>
        <w:t>αναπληρωτές κλάδου ΠΕ30-Κοινωνικών Λειτουργών</w:t>
      </w:r>
    </w:p>
    <w:p w:rsidR="005D0391" w:rsidRPr="007626FD" w:rsidRDefault="005D0391" w:rsidP="00A80136">
      <w:pPr>
        <w:numPr>
          <w:ilvl w:val="0"/>
          <w:numId w:val="2"/>
        </w:numPr>
        <w:tabs>
          <w:tab w:val="left" w:pos="1985"/>
        </w:tabs>
        <w:contextualSpacing/>
        <w:jc w:val="both"/>
        <w:rPr>
          <w:rFonts w:asciiTheme="minorHAnsi" w:eastAsiaTheme="minorHAnsi" w:hAnsiTheme="minorHAnsi" w:cstheme="minorBidi"/>
          <w:sz w:val="24"/>
          <w:szCs w:val="24"/>
          <w:lang w:eastAsia="en-US"/>
        </w:rPr>
      </w:pPr>
      <w:r w:rsidRPr="007626FD">
        <w:rPr>
          <w:rFonts w:asciiTheme="minorHAnsi" w:eastAsiaTheme="minorHAnsi" w:hAnsiTheme="minorHAnsi" w:cstheme="minorBidi"/>
          <w:sz w:val="24"/>
          <w:szCs w:val="24"/>
          <w:lang w:eastAsia="en-US"/>
        </w:rPr>
        <w:t>356</w:t>
      </w:r>
      <w:r w:rsidR="00A80136">
        <w:rPr>
          <w:rFonts w:asciiTheme="minorHAnsi" w:eastAsiaTheme="minorHAnsi" w:hAnsiTheme="minorHAnsi" w:cstheme="minorBidi"/>
          <w:sz w:val="24"/>
          <w:szCs w:val="24"/>
          <w:lang w:eastAsia="en-US"/>
        </w:rPr>
        <w:tab/>
      </w:r>
      <w:r w:rsidRPr="007626FD">
        <w:rPr>
          <w:rFonts w:asciiTheme="minorHAnsi" w:eastAsiaTheme="minorHAnsi" w:hAnsiTheme="minorHAnsi" w:cstheme="minorBidi"/>
          <w:sz w:val="24"/>
          <w:szCs w:val="24"/>
          <w:lang w:eastAsia="en-US"/>
        </w:rPr>
        <w:t>αναπληρωτές κλάδου ΕΒΠ-Ειδικό Βοηθητικό Προσωπικό</w:t>
      </w:r>
    </w:p>
    <w:p w:rsidR="005D0391" w:rsidRPr="007626FD" w:rsidRDefault="005D0391" w:rsidP="005D0391">
      <w:pPr>
        <w:ind w:left="1487"/>
        <w:contextualSpacing/>
        <w:rPr>
          <w:rFonts w:asciiTheme="minorHAnsi" w:eastAsiaTheme="minorHAnsi" w:hAnsiTheme="minorHAnsi" w:cstheme="minorBidi"/>
          <w:sz w:val="24"/>
          <w:szCs w:val="24"/>
          <w:lang w:eastAsia="en-US"/>
        </w:rPr>
      </w:pPr>
    </w:p>
    <w:p w:rsidR="005D0391" w:rsidRPr="007626FD" w:rsidRDefault="005D0391" w:rsidP="005D0391">
      <w:pPr>
        <w:rPr>
          <w:rFonts w:asciiTheme="minorHAnsi" w:eastAsiaTheme="minorHAnsi" w:hAnsiTheme="minorHAnsi" w:cstheme="minorBidi"/>
          <w:sz w:val="24"/>
          <w:szCs w:val="24"/>
          <w:lang w:eastAsia="en-US"/>
        </w:rPr>
      </w:pPr>
      <w:bookmarkStart w:id="0" w:name="_GoBack"/>
      <w:bookmarkEnd w:id="0"/>
    </w:p>
    <w:p w:rsidR="005D0391" w:rsidRPr="005D0391" w:rsidRDefault="005D0391" w:rsidP="005D0391"/>
    <w:p w:rsidR="005D0391" w:rsidRDefault="005D0391" w:rsidP="005D0391">
      <w:r>
        <w:rPr>
          <w:noProof/>
        </w:rPr>
        <w:drawing>
          <wp:inline distT="0" distB="0" distL="0" distR="0" wp14:anchorId="7508BE10" wp14:editId="6B7061E6">
            <wp:extent cx="5267325" cy="7905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91623"/>
                    </a:xfrm>
                    <a:prstGeom prst="rect">
                      <a:avLst/>
                    </a:prstGeom>
                    <a:noFill/>
                    <a:ln>
                      <a:noFill/>
                    </a:ln>
                  </pic:spPr>
                </pic:pic>
              </a:graphicData>
            </a:graphic>
          </wp:inline>
        </w:drawing>
      </w:r>
    </w:p>
    <w:p w:rsidR="005D0391" w:rsidRDefault="005D0391" w:rsidP="005D0391"/>
    <w:p w:rsidR="005D0391" w:rsidRDefault="005D0391" w:rsidP="005D0391"/>
    <w:p w:rsidR="005D0391" w:rsidRDefault="005D0391" w:rsidP="005D0391"/>
    <w:p w:rsidR="005D0391" w:rsidRDefault="005D0391" w:rsidP="005D0391">
      <w:r>
        <w:rPr>
          <w:noProof/>
        </w:rPr>
        <w:drawing>
          <wp:inline distT="0" distB="0" distL="0" distR="0" wp14:anchorId="51689895" wp14:editId="34B278DA">
            <wp:extent cx="5276848" cy="685800"/>
            <wp:effectExtent l="0" t="0" r="63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685470"/>
                    </a:xfrm>
                    <a:prstGeom prst="rect">
                      <a:avLst/>
                    </a:prstGeom>
                    <a:noFill/>
                  </pic:spPr>
                </pic:pic>
              </a:graphicData>
            </a:graphic>
          </wp:inline>
        </w:drawing>
      </w:r>
    </w:p>
    <w:p w:rsidR="008927BD" w:rsidRDefault="008927BD"/>
    <w:sectPr w:rsidR="008927BD" w:rsidSect="00257925">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imes New (W1)">
    <w:altName w:val="Times New Roman"/>
    <w:charset w:val="A1"/>
    <w:family w:val="roman"/>
    <w:pitch w:val="variable"/>
    <w:sig w:usb0="20002A87" w:usb1="80000000" w:usb2="00000008"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486"/>
    <w:multiLevelType w:val="hybridMultilevel"/>
    <w:tmpl w:val="D56AF456"/>
    <w:lvl w:ilvl="0" w:tplc="04080001">
      <w:start w:val="1"/>
      <w:numFmt w:val="bullet"/>
      <w:lvlText w:val=""/>
      <w:lvlJc w:val="left"/>
      <w:pPr>
        <w:ind w:left="1487" w:hanging="360"/>
      </w:pPr>
      <w:rPr>
        <w:rFonts w:ascii="Symbol" w:hAnsi="Symbol" w:hint="default"/>
      </w:rPr>
    </w:lvl>
    <w:lvl w:ilvl="1" w:tplc="04080003" w:tentative="1">
      <w:start w:val="1"/>
      <w:numFmt w:val="bullet"/>
      <w:lvlText w:val="o"/>
      <w:lvlJc w:val="left"/>
      <w:pPr>
        <w:ind w:left="2207" w:hanging="360"/>
      </w:pPr>
      <w:rPr>
        <w:rFonts w:ascii="Courier New" w:hAnsi="Courier New" w:cs="Courier New" w:hint="default"/>
      </w:rPr>
    </w:lvl>
    <w:lvl w:ilvl="2" w:tplc="04080005" w:tentative="1">
      <w:start w:val="1"/>
      <w:numFmt w:val="bullet"/>
      <w:lvlText w:val=""/>
      <w:lvlJc w:val="left"/>
      <w:pPr>
        <w:ind w:left="2927" w:hanging="360"/>
      </w:pPr>
      <w:rPr>
        <w:rFonts w:ascii="Wingdings" w:hAnsi="Wingdings" w:hint="default"/>
      </w:rPr>
    </w:lvl>
    <w:lvl w:ilvl="3" w:tplc="04080001" w:tentative="1">
      <w:start w:val="1"/>
      <w:numFmt w:val="bullet"/>
      <w:lvlText w:val=""/>
      <w:lvlJc w:val="left"/>
      <w:pPr>
        <w:ind w:left="3647" w:hanging="360"/>
      </w:pPr>
      <w:rPr>
        <w:rFonts w:ascii="Symbol" w:hAnsi="Symbol" w:hint="default"/>
      </w:rPr>
    </w:lvl>
    <w:lvl w:ilvl="4" w:tplc="04080003" w:tentative="1">
      <w:start w:val="1"/>
      <w:numFmt w:val="bullet"/>
      <w:lvlText w:val="o"/>
      <w:lvlJc w:val="left"/>
      <w:pPr>
        <w:ind w:left="4367" w:hanging="360"/>
      </w:pPr>
      <w:rPr>
        <w:rFonts w:ascii="Courier New" w:hAnsi="Courier New" w:cs="Courier New" w:hint="default"/>
      </w:rPr>
    </w:lvl>
    <w:lvl w:ilvl="5" w:tplc="04080005" w:tentative="1">
      <w:start w:val="1"/>
      <w:numFmt w:val="bullet"/>
      <w:lvlText w:val=""/>
      <w:lvlJc w:val="left"/>
      <w:pPr>
        <w:ind w:left="5087" w:hanging="360"/>
      </w:pPr>
      <w:rPr>
        <w:rFonts w:ascii="Wingdings" w:hAnsi="Wingdings" w:hint="default"/>
      </w:rPr>
    </w:lvl>
    <w:lvl w:ilvl="6" w:tplc="04080001" w:tentative="1">
      <w:start w:val="1"/>
      <w:numFmt w:val="bullet"/>
      <w:lvlText w:val=""/>
      <w:lvlJc w:val="left"/>
      <w:pPr>
        <w:ind w:left="5807" w:hanging="360"/>
      </w:pPr>
      <w:rPr>
        <w:rFonts w:ascii="Symbol" w:hAnsi="Symbol" w:hint="default"/>
      </w:rPr>
    </w:lvl>
    <w:lvl w:ilvl="7" w:tplc="04080003" w:tentative="1">
      <w:start w:val="1"/>
      <w:numFmt w:val="bullet"/>
      <w:lvlText w:val="o"/>
      <w:lvlJc w:val="left"/>
      <w:pPr>
        <w:ind w:left="6527" w:hanging="360"/>
      </w:pPr>
      <w:rPr>
        <w:rFonts w:ascii="Courier New" w:hAnsi="Courier New" w:cs="Courier New" w:hint="default"/>
      </w:rPr>
    </w:lvl>
    <w:lvl w:ilvl="8" w:tplc="04080005" w:tentative="1">
      <w:start w:val="1"/>
      <w:numFmt w:val="bullet"/>
      <w:lvlText w:val=""/>
      <w:lvlJc w:val="left"/>
      <w:pPr>
        <w:ind w:left="7247" w:hanging="360"/>
      </w:pPr>
      <w:rPr>
        <w:rFonts w:ascii="Wingdings" w:hAnsi="Wingdings" w:hint="default"/>
      </w:rPr>
    </w:lvl>
  </w:abstractNum>
  <w:abstractNum w:abstractNumId="1">
    <w:nsid w:val="4AA6100D"/>
    <w:multiLevelType w:val="hybridMultilevel"/>
    <w:tmpl w:val="4D809550"/>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BD"/>
    <w:rsid w:val="00257925"/>
    <w:rsid w:val="00382186"/>
    <w:rsid w:val="00470955"/>
    <w:rsid w:val="005D0391"/>
    <w:rsid w:val="0061138C"/>
    <w:rsid w:val="00667425"/>
    <w:rsid w:val="008927BD"/>
    <w:rsid w:val="00A80136"/>
    <w:rsid w:val="00AD5FF9"/>
    <w:rsid w:val="00B35B95"/>
    <w:rsid w:val="00CF7B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86"/>
    <w:rPr>
      <w:lang w:eastAsia="el-GR"/>
    </w:rPr>
  </w:style>
  <w:style w:type="paragraph" w:styleId="1">
    <w:name w:val="heading 1"/>
    <w:basedOn w:val="a"/>
    <w:next w:val="a"/>
    <w:link w:val="1Char"/>
    <w:qFormat/>
    <w:rsid w:val="00382186"/>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Char"/>
    <w:semiHidden/>
    <w:unhideWhenUsed/>
    <w:qFormat/>
    <w:rsid w:val="00382186"/>
    <w:pPr>
      <w:keepNext/>
      <w:spacing w:before="240" w:after="60"/>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82186"/>
    <w:rPr>
      <w:rFonts w:asciiTheme="majorHAnsi" w:eastAsiaTheme="majorEastAsia" w:hAnsiTheme="majorHAnsi" w:cstheme="majorBidi"/>
      <w:b/>
      <w:bCs/>
      <w:kern w:val="32"/>
      <w:sz w:val="32"/>
      <w:szCs w:val="32"/>
    </w:rPr>
  </w:style>
  <w:style w:type="character" w:customStyle="1" w:styleId="3Char">
    <w:name w:val="Επικεφαλίδα 3 Char"/>
    <w:basedOn w:val="a0"/>
    <w:link w:val="3"/>
    <w:semiHidden/>
    <w:rsid w:val="00382186"/>
    <w:rPr>
      <w:rFonts w:asciiTheme="majorHAnsi" w:eastAsiaTheme="majorEastAsia" w:hAnsiTheme="majorHAnsi" w:cstheme="majorBidi"/>
      <w:b/>
      <w:bCs/>
      <w:sz w:val="26"/>
      <w:szCs w:val="26"/>
    </w:rPr>
  </w:style>
  <w:style w:type="character" w:styleId="a3">
    <w:name w:val="Strong"/>
    <w:qFormat/>
    <w:rsid w:val="00382186"/>
    <w:rPr>
      <w:b/>
      <w:bCs/>
    </w:rPr>
  </w:style>
  <w:style w:type="paragraph" w:styleId="a4">
    <w:name w:val="List Paragraph"/>
    <w:basedOn w:val="a"/>
    <w:uiPriority w:val="34"/>
    <w:qFormat/>
    <w:rsid w:val="00382186"/>
    <w:pPr>
      <w:ind w:left="720"/>
    </w:pPr>
    <w:rPr>
      <w:rFonts w:ascii="Times New (W1)" w:eastAsia="Times New Roman" w:hAnsi="Times New (W1)"/>
      <w:sz w:val="24"/>
      <w:szCs w:val="24"/>
    </w:rPr>
  </w:style>
  <w:style w:type="paragraph" w:styleId="a5">
    <w:name w:val="Balloon Text"/>
    <w:basedOn w:val="a"/>
    <w:link w:val="Char"/>
    <w:uiPriority w:val="99"/>
    <w:semiHidden/>
    <w:unhideWhenUsed/>
    <w:rsid w:val="008927BD"/>
    <w:rPr>
      <w:rFonts w:ascii="Tahoma" w:hAnsi="Tahoma" w:cs="Tahoma"/>
      <w:sz w:val="16"/>
      <w:szCs w:val="16"/>
    </w:rPr>
  </w:style>
  <w:style w:type="character" w:customStyle="1" w:styleId="Char">
    <w:name w:val="Κείμενο πλαισίου Char"/>
    <w:basedOn w:val="a0"/>
    <w:link w:val="a5"/>
    <w:uiPriority w:val="99"/>
    <w:semiHidden/>
    <w:rsid w:val="008927BD"/>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86"/>
    <w:rPr>
      <w:lang w:eastAsia="el-GR"/>
    </w:rPr>
  </w:style>
  <w:style w:type="paragraph" w:styleId="1">
    <w:name w:val="heading 1"/>
    <w:basedOn w:val="a"/>
    <w:next w:val="a"/>
    <w:link w:val="1Char"/>
    <w:qFormat/>
    <w:rsid w:val="00382186"/>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Char"/>
    <w:semiHidden/>
    <w:unhideWhenUsed/>
    <w:qFormat/>
    <w:rsid w:val="00382186"/>
    <w:pPr>
      <w:keepNext/>
      <w:spacing w:before="240" w:after="60"/>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82186"/>
    <w:rPr>
      <w:rFonts w:asciiTheme="majorHAnsi" w:eastAsiaTheme="majorEastAsia" w:hAnsiTheme="majorHAnsi" w:cstheme="majorBidi"/>
      <w:b/>
      <w:bCs/>
      <w:kern w:val="32"/>
      <w:sz w:val="32"/>
      <w:szCs w:val="32"/>
    </w:rPr>
  </w:style>
  <w:style w:type="character" w:customStyle="1" w:styleId="3Char">
    <w:name w:val="Επικεφαλίδα 3 Char"/>
    <w:basedOn w:val="a0"/>
    <w:link w:val="3"/>
    <w:semiHidden/>
    <w:rsid w:val="00382186"/>
    <w:rPr>
      <w:rFonts w:asciiTheme="majorHAnsi" w:eastAsiaTheme="majorEastAsia" w:hAnsiTheme="majorHAnsi" w:cstheme="majorBidi"/>
      <w:b/>
      <w:bCs/>
      <w:sz w:val="26"/>
      <w:szCs w:val="26"/>
    </w:rPr>
  </w:style>
  <w:style w:type="character" w:styleId="a3">
    <w:name w:val="Strong"/>
    <w:qFormat/>
    <w:rsid w:val="00382186"/>
    <w:rPr>
      <w:b/>
      <w:bCs/>
    </w:rPr>
  </w:style>
  <w:style w:type="paragraph" w:styleId="a4">
    <w:name w:val="List Paragraph"/>
    <w:basedOn w:val="a"/>
    <w:uiPriority w:val="34"/>
    <w:qFormat/>
    <w:rsid w:val="00382186"/>
    <w:pPr>
      <w:ind w:left="720"/>
    </w:pPr>
    <w:rPr>
      <w:rFonts w:ascii="Times New (W1)" w:eastAsia="Times New Roman" w:hAnsi="Times New (W1)"/>
      <w:sz w:val="24"/>
      <w:szCs w:val="24"/>
    </w:rPr>
  </w:style>
  <w:style w:type="paragraph" w:styleId="a5">
    <w:name w:val="Balloon Text"/>
    <w:basedOn w:val="a"/>
    <w:link w:val="Char"/>
    <w:uiPriority w:val="99"/>
    <w:semiHidden/>
    <w:unhideWhenUsed/>
    <w:rsid w:val="008927BD"/>
    <w:rPr>
      <w:rFonts w:ascii="Tahoma" w:hAnsi="Tahoma" w:cs="Tahoma"/>
      <w:sz w:val="16"/>
      <w:szCs w:val="16"/>
    </w:rPr>
  </w:style>
  <w:style w:type="character" w:customStyle="1" w:styleId="Char">
    <w:name w:val="Κείμενο πλαισίου Char"/>
    <w:basedOn w:val="a0"/>
    <w:link w:val="a5"/>
    <w:uiPriority w:val="99"/>
    <w:semiHidden/>
    <w:rsid w:val="008927BD"/>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tik.pde.sch.gr" TargetMode="External"/><Relationship Id="rId3" Type="http://schemas.microsoft.com/office/2007/relationships/stylesWithEffects" Target="stylesWithEffects.xml"/><Relationship Id="rId7" Type="http://schemas.openxmlformats.org/officeDocument/2006/relationships/hyperlink" Target="mailto:mail@attik.pde.sc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525</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ΕΥΓΕΝΙΑ ΓΚΕΛΕΚΑ</dc:creator>
  <cp:lastModifiedBy>Βασίλης Ι. Προξενιάς</cp:lastModifiedBy>
  <cp:revision>10</cp:revision>
  <dcterms:created xsi:type="dcterms:W3CDTF">2017-10-05T07:55:00Z</dcterms:created>
  <dcterms:modified xsi:type="dcterms:W3CDTF">2017-10-17T10:08:00Z</dcterms:modified>
</cp:coreProperties>
</file>